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31B" w:rsidRPr="00EC7D1D" w:rsidRDefault="00AB331B" w:rsidP="00AB331B">
      <w:pPr>
        <w:pStyle w:val="Mario"/>
        <w:numPr>
          <w:ilvl w:val="2"/>
          <w:numId w:val="7"/>
        </w:numPr>
        <w:tabs>
          <w:tab w:val="left" w:pos="993"/>
        </w:tabs>
        <w:spacing w:line="100" w:lineRule="atLeast"/>
        <w:ind w:left="993" w:hanging="993"/>
        <w:rPr>
          <w:rFonts w:cs="Arial"/>
          <w:b/>
          <w:bCs/>
          <w:sz w:val="22"/>
          <w:szCs w:val="22"/>
        </w:rPr>
      </w:pPr>
      <w:r w:rsidRPr="00EC7D1D">
        <w:rPr>
          <w:rFonts w:cs="Arial"/>
          <w:b/>
          <w:bCs/>
          <w:sz w:val="22"/>
          <w:szCs w:val="22"/>
        </w:rPr>
        <w:t>Wymagania techniczne dla uprzywilejowania w ruchu</w:t>
      </w:r>
    </w:p>
    <w:p w:rsidR="00AB331B" w:rsidRPr="00EC7D1D" w:rsidRDefault="00AB331B" w:rsidP="00AB331B">
      <w:pPr>
        <w:widowControl/>
        <w:suppressAutoHyphens w:val="0"/>
        <w:spacing w:line="10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eastAsia="Calibri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</w:rPr>
        <w:t xml:space="preserve">Pojazd musi być wyposażony w system uprzywilejowania w ruchu drogowym, </w:t>
      </w:r>
      <w:r w:rsidRPr="00EC7D1D">
        <w:rPr>
          <w:rFonts w:ascii="Arial" w:eastAsia="Calibri" w:hAnsi="Arial" w:cs="Arial"/>
          <w:sz w:val="22"/>
          <w:szCs w:val="22"/>
        </w:rPr>
        <w:br/>
        <w:t xml:space="preserve">w którego skład wchodzić muszą urządzenia określone w pkt. od 1.5.6.2 </w:t>
      </w:r>
      <w:proofErr w:type="gramStart"/>
      <w:r w:rsidRPr="00EC7D1D">
        <w:rPr>
          <w:rFonts w:ascii="Arial" w:eastAsia="Calibri" w:hAnsi="Arial" w:cs="Arial"/>
          <w:sz w:val="22"/>
          <w:szCs w:val="22"/>
        </w:rPr>
        <w:t>do</w:t>
      </w:r>
      <w:proofErr w:type="gramEnd"/>
      <w:r w:rsidRPr="00EC7D1D">
        <w:rPr>
          <w:rFonts w:ascii="Arial" w:eastAsia="Calibri" w:hAnsi="Arial" w:cs="Arial"/>
          <w:sz w:val="22"/>
          <w:szCs w:val="22"/>
        </w:rPr>
        <w:t xml:space="preserve"> 1.5.6.15.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eastAsia="Calibri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Wszystkie urządzenia świetlne sygnalizacji uprzywilejowania emitujące światło </w:t>
      </w:r>
      <w:r w:rsidRPr="00EC7D1D">
        <w:rPr>
          <w:rFonts w:ascii="Arial" w:eastAsia="Calibri" w:hAnsi="Arial" w:cs="Arial"/>
          <w:sz w:val="22"/>
          <w:szCs w:val="22"/>
        </w:rPr>
        <w:t>koloru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niebieskiego i czerwonego muszą posiadać świadectwo homologacji na zgodność z Regulaminem 65 EKG ONZ</w:t>
      </w:r>
      <w:r w:rsidRPr="00EC7D1D">
        <w:rPr>
          <w:rFonts w:ascii="Arial" w:hAnsi="Arial" w:cs="Arial"/>
          <w:sz w:val="22"/>
          <w:szCs w:val="22"/>
        </w:rPr>
        <w:t xml:space="preserve"> dla klasy 2</w:t>
      </w:r>
      <w:r w:rsidRPr="00EC7D1D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Urządzenia świetlne muszą być wyposażone</w:t>
      </w:r>
      <w:r w:rsidRPr="00EC7D1D">
        <w:rPr>
          <w:rFonts w:ascii="Arial" w:hAnsi="Arial" w:cs="Arial"/>
          <w:sz w:val="22"/>
          <w:szCs w:val="22"/>
        </w:rPr>
        <w:t xml:space="preserve"> w automatyczną funkcję przełączania trybu dzień/noc. Funkcja włączenia jednego z trybów musi być sygnalizowana świeceniem się lampki kontrolnej umieszczonej np. w manipulatorze opisanym w pkt. 1.5.6.15.</w:t>
      </w:r>
    </w:p>
    <w:p w:rsidR="00AB331B" w:rsidRPr="00EC7D1D" w:rsidRDefault="00AB331B" w:rsidP="00AB331B">
      <w:pPr>
        <w:widowControl/>
        <w:ind w:left="993"/>
        <w:jc w:val="both"/>
        <w:rPr>
          <w:rFonts w:ascii="Arial" w:eastAsia="Calibri" w:hAnsi="Arial" w:cs="Arial"/>
          <w:sz w:val="22"/>
          <w:szCs w:val="22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Dokumenty potwierdzające spełnienie wymogów muszą być przekazane Zamawiającemu przez Wykonawcę w fazie oceny projektu modyfikacji pojazdu.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eastAsia="Calibri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 xml:space="preserve">Na dachu pojazdu musi być zamontowana symetrycznie i prostopadle do podłużnej osi symetrii pojazdu, zespolona lampa ostrzegawcza. Lampa nie może wystawać poza obrys dachu i musi być zamontowana w sposób, jak najmniej ingerujący w strukturę pojazdu. Wytrzymałość lampy ostrzegawczej zamontowanej na pojeździe wraz z dedykowanym systemem mocowania oraz punktami mocowania w nadwoziu pojazdu musi zapewnić pewne przytrzymanie podczas zadziałania opóźnienia o </w:t>
      </w:r>
      <w:proofErr w:type="gramStart"/>
      <w:r w:rsidRPr="00EC7D1D">
        <w:rPr>
          <w:rFonts w:ascii="Arial" w:hAnsi="Arial" w:cs="Arial"/>
          <w:sz w:val="22"/>
          <w:szCs w:val="22"/>
        </w:rPr>
        <w:t>wartości co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najmniej 10g w pięciu prostopadłych kierunkach: do przodu (X+), do tyłu (X-), w lewo (Y+), w prawo (Y-), pionowo (Z+). Podczas badania </w:t>
      </w:r>
      <w:r w:rsidRPr="00EC7D1D">
        <w:rPr>
          <w:rFonts w:ascii="Arial" w:eastAsia="Calibri" w:hAnsi="Arial" w:cs="Arial"/>
          <w:sz w:val="22"/>
          <w:szCs w:val="22"/>
        </w:rPr>
        <w:t xml:space="preserve">niszczącego należy przeprowadzić testy dynamiczne w pięciu prostopadłych kierunkach: do przodu (X+), do tyłu (X-), w lewo (Y+), w prawo (Y-), pionowo (Z+) zgodnie z metodyką badawczą opisaną w punktach 4.5.9 </w:t>
      </w:r>
      <w:proofErr w:type="gramStart"/>
      <w:r w:rsidRPr="00EC7D1D">
        <w:rPr>
          <w:rFonts w:ascii="Arial" w:eastAsia="Calibri" w:hAnsi="Arial" w:cs="Arial"/>
          <w:sz w:val="22"/>
          <w:szCs w:val="22"/>
        </w:rPr>
        <w:t>i</w:t>
      </w:r>
      <w:proofErr w:type="gramEnd"/>
      <w:r w:rsidRPr="00EC7D1D">
        <w:rPr>
          <w:rFonts w:ascii="Arial" w:eastAsia="Calibri" w:hAnsi="Arial" w:cs="Arial"/>
          <w:sz w:val="22"/>
          <w:szCs w:val="22"/>
        </w:rPr>
        <w:t xml:space="preserve"> 5.4 </w:t>
      </w:r>
      <w:proofErr w:type="gramStart"/>
      <w:r w:rsidRPr="00EC7D1D">
        <w:rPr>
          <w:rFonts w:ascii="Arial" w:eastAsia="Calibri" w:hAnsi="Arial" w:cs="Arial"/>
          <w:sz w:val="22"/>
          <w:szCs w:val="22"/>
        </w:rPr>
        <w:t>normy</w:t>
      </w:r>
      <w:proofErr w:type="gramEnd"/>
      <w:r w:rsidRPr="00EC7D1D">
        <w:rPr>
          <w:rFonts w:ascii="Arial" w:eastAsia="Calibri" w:hAnsi="Arial" w:cs="Arial"/>
          <w:sz w:val="22"/>
          <w:szCs w:val="22"/>
        </w:rPr>
        <w:t xml:space="preserve"> PN-EN 1789+A2.</w:t>
      </w:r>
    </w:p>
    <w:p w:rsidR="00AB331B" w:rsidRPr="00EC7D1D" w:rsidRDefault="00AB331B" w:rsidP="00AB331B">
      <w:pPr>
        <w:widowControl/>
        <w:ind w:left="993"/>
        <w:jc w:val="both"/>
        <w:rPr>
          <w:rFonts w:ascii="Arial" w:eastAsia="Calibri" w:hAnsi="Arial" w:cs="Arial"/>
          <w:b/>
          <w:sz w:val="22"/>
          <w:szCs w:val="22"/>
        </w:rPr>
      </w:pPr>
      <w:r w:rsidRPr="00EC7D1D">
        <w:rPr>
          <w:rFonts w:ascii="Arial" w:eastAsia="Calibri" w:hAnsi="Arial" w:cs="Arial"/>
          <w:b/>
          <w:sz w:val="22"/>
          <w:szCs w:val="22"/>
        </w:rPr>
        <w:t>Spełnienie wymogu musi być potwierdzone oświadczeniem Wykonawcy wystawionym na podstawie opinii lub sprawozdania z badań niszczących, wydanego przez akredytowaną jednostkę badawczą oraz pozytywnym wynikiem oględzin dokonanych przez przedstawicieli Zamawiającego w fazie oceny projektu modyfikacji pojazdu.</w:t>
      </w:r>
    </w:p>
    <w:p w:rsidR="00AB331B" w:rsidRPr="00EC7D1D" w:rsidRDefault="00AB331B" w:rsidP="00AB331B">
      <w:pPr>
        <w:widowControl/>
        <w:ind w:left="993"/>
        <w:jc w:val="both"/>
        <w:rPr>
          <w:rFonts w:ascii="Arial" w:eastAsia="Calibri" w:hAnsi="Arial" w:cs="Arial"/>
          <w:b/>
          <w:sz w:val="22"/>
          <w:szCs w:val="22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Dokumenty potwierdzające spełnienie wymogów muszą być przekazane Zamawiającemu przez Wykonawcę w fazie oceny projektu modyfikacji pojazdu.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>Zespolona lampa ostrzegawcza wraz z dedykowanym systemem mocowania musi być zamontowana do fabrycznych elementów wzmacniających dach pojazdu. Wszystkie przewody doprowadzone do lampy ostrzegawczej muszą być poprowadzone w sposób maksymalnie wykorzystujący fabryczne otwory, wzmocnienia i elementy pojazdu.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 xml:space="preserve">Klosz zespolonej lampy ostrzegawczej (bez elementów mocujących do pojazdu), </w:t>
      </w:r>
      <w:r w:rsidRPr="00EC7D1D">
        <w:rPr>
          <w:rFonts w:ascii="Arial" w:hAnsi="Arial" w:cs="Arial"/>
          <w:sz w:val="22"/>
          <w:szCs w:val="22"/>
        </w:rPr>
        <w:br/>
        <w:t xml:space="preserve">o której mowa w pkt. 1.5.6.3 i 1.5.6.4 </w:t>
      </w:r>
      <w:proofErr w:type="gramStart"/>
      <w:r w:rsidRPr="00EC7D1D">
        <w:rPr>
          <w:rFonts w:ascii="Arial" w:hAnsi="Arial" w:cs="Arial"/>
          <w:sz w:val="22"/>
          <w:szCs w:val="22"/>
        </w:rPr>
        <w:t>musi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mieć wysokość w przedziale od 80 mm do 100 mm.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>Zespolona lampa ostrzegawcza musi posiadać:</w:t>
      </w:r>
    </w:p>
    <w:p w:rsidR="00AB331B" w:rsidRPr="00EC7D1D" w:rsidRDefault="00AB331B" w:rsidP="00AB331B">
      <w:pPr>
        <w:widowControl/>
        <w:numPr>
          <w:ilvl w:val="1"/>
          <w:numId w:val="1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min</w:t>
      </w:r>
      <w:proofErr w:type="gramEnd"/>
      <w:r w:rsidRPr="00EC7D1D">
        <w:rPr>
          <w:rFonts w:ascii="Arial" w:hAnsi="Arial" w:cs="Arial"/>
          <w:sz w:val="22"/>
          <w:szCs w:val="22"/>
        </w:rPr>
        <w:t>. dwie lampy LED o kloszach w kolorze niebieskim o barwie światła niebieskiej umieszczone w dwóch skrajnych częściach lampy zespolonej, widoczne z każdej strony pojazdu i świecące naprzemiennie. Każda z lamp musi być zbudowana z modułów posiadających łącznie, co najmniej 16 diod LED o wysokiej światłości.</w:t>
      </w:r>
    </w:p>
    <w:p w:rsidR="00AB331B" w:rsidRPr="00EC7D1D" w:rsidRDefault="00AB331B" w:rsidP="00AB331B">
      <w:pPr>
        <w:widowControl/>
        <w:numPr>
          <w:ilvl w:val="1"/>
          <w:numId w:val="1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podświetlany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w technologii LED napis „POLICJA” wykonany w kolorze niebieskim o tej samej barwie, co niebieski pas wyróżniający, wypełniający białe pole pomiędzy lampami ostrzegawczymi, widoczny z przodu i z tyłu pojazdu z odległości 50 m w warunkach nocnych, o minimalnej wysokość liter napisu wynoszącej 65 mm,</w:t>
      </w:r>
    </w:p>
    <w:p w:rsidR="00AB331B" w:rsidRPr="00EC7D1D" w:rsidRDefault="00AB331B" w:rsidP="00AB331B">
      <w:pPr>
        <w:widowControl/>
        <w:numPr>
          <w:ilvl w:val="1"/>
          <w:numId w:val="1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lastRenderedPageBreak/>
        <w:t xml:space="preserve">jedną lampę LED o kloszu bezbarwnym umieszczoną między lewą lampą </w:t>
      </w:r>
      <w:r w:rsidRPr="00EC7D1D">
        <w:rPr>
          <w:rFonts w:ascii="Arial" w:hAnsi="Arial" w:cs="Arial"/>
          <w:sz w:val="22"/>
          <w:szCs w:val="22"/>
        </w:rPr>
        <w:br/>
        <w:t xml:space="preserve">o barwie światła niebieskiej, a podświetlanym napisem „POLICJA”, </w:t>
      </w:r>
      <w:proofErr w:type="gramStart"/>
      <w:r w:rsidRPr="00EC7D1D">
        <w:rPr>
          <w:rFonts w:ascii="Arial" w:hAnsi="Arial" w:cs="Arial"/>
          <w:sz w:val="22"/>
          <w:szCs w:val="22"/>
        </w:rPr>
        <w:t>widoczną co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najmniej z przodu i z tyłu pojazdu. Lampa musi posiadać, co najmniej dwa moduły świetlne LED (duo-kolor) posiadające możliwość emitowania światła </w:t>
      </w:r>
      <w:r w:rsidRPr="00EC7D1D">
        <w:rPr>
          <w:rFonts w:ascii="Arial" w:hAnsi="Arial" w:cs="Arial"/>
          <w:sz w:val="22"/>
          <w:szCs w:val="22"/>
        </w:rPr>
        <w:br/>
        <w:t xml:space="preserve">o barwie niebieskiej i barwie czerwonej. Każdy z modułów musi posiadać łącznie, co najmniej sześć diod LED o wysokiej światłości ustawionych </w:t>
      </w:r>
      <w:r w:rsidRPr="00EC7D1D">
        <w:rPr>
          <w:rFonts w:ascii="Arial" w:hAnsi="Arial" w:cs="Arial"/>
          <w:sz w:val="22"/>
          <w:szCs w:val="22"/>
        </w:rPr>
        <w:br/>
        <w:t>w dwóch rzędach. Moduły świetlne LED muszą być ustawione w konfiguracji:</w:t>
      </w:r>
    </w:p>
    <w:p w:rsidR="00AB331B" w:rsidRPr="00EC7D1D" w:rsidRDefault="00AB331B" w:rsidP="00AB331B">
      <w:pPr>
        <w:spacing w:line="100" w:lineRule="atLeast"/>
        <w:ind w:left="1418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>- jeden moduł świecący do przodu,</w:t>
      </w:r>
    </w:p>
    <w:p w:rsidR="00AB331B" w:rsidRPr="00EC7D1D" w:rsidRDefault="00AB331B" w:rsidP="00AB331B">
      <w:pPr>
        <w:spacing w:line="100" w:lineRule="atLeast"/>
        <w:ind w:left="1418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 xml:space="preserve">- jeden moduł świecący do tyłu. </w:t>
      </w:r>
    </w:p>
    <w:p w:rsidR="00AB331B" w:rsidRPr="00EC7D1D" w:rsidRDefault="00AB331B" w:rsidP="00AB331B">
      <w:pPr>
        <w:spacing w:line="100" w:lineRule="atLeast"/>
        <w:ind w:left="1418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>Po włączeniu uprzywilejowania pojazdu moduły świetlne LED muszą automatycznie załączać się i emitować światło o barwie niebieskiej. Po włączeniu na manipulatorze pozycji jazdy w kolumnie, moduły muszą emitować światło o barwie czerwonej,</w:t>
      </w:r>
    </w:p>
    <w:p w:rsidR="00AB331B" w:rsidRPr="00EC7D1D" w:rsidRDefault="00AB331B" w:rsidP="00AB331B">
      <w:pPr>
        <w:widowControl/>
        <w:numPr>
          <w:ilvl w:val="1"/>
          <w:numId w:val="1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dwie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pomocnicze lampy LED o kloszach bezbarwnych umieszczone po prawej i lewej stronie lampy zespolonej. Lampy muszą </w:t>
      </w:r>
      <w:proofErr w:type="gramStart"/>
      <w:r w:rsidRPr="00EC7D1D">
        <w:rPr>
          <w:rFonts w:ascii="Arial" w:hAnsi="Arial" w:cs="Arial"/>
          <w:sz w:val="22"/>
          <w:szCs w:val="22"/>
        </w:rPr>
        <w:t>posiadać  moduły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świetlne LED (duo-kolor) posiadające możliwość emitowania światła o barwie niebieskiej i barwie białej. Po włączeniu uprzywilejowania pojazdu moduły świetlne LED muszą automatycznie załączać się i emitować światło o barwie niebieskiej. Po włączeniu na manipulatorze funkcji oświetlenia pomocniczego lampy muszą emitować ciągły strumień światła o barwie białej i oświetlać obszar przed pojazdem podczas wykonywania czynności służbowych,</w:t>
      </w:r>
    </w:p>
    <w:p w:rsidR="00AB331B" w:rsidRPr="00EC7D1D" w:rsidRDefault="00AB331B" w:rsidP="00AB331B">
      <w:pPr>
        <w:widowControl/>
        <w:numPr>
          <w:ilvl w:val="1"/>
          <w:numId w:val="1"/>
        </w:numPr>
        <w:spacing w:line="100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dwie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pomocnicze lampy LED o kloszach bezbarwnych umieszczone po prawej i lewej bocznej stronie lampy zespolonej. Lampy muszą posiadać moduły świetlne LED (duo-kolor) posiadające możliwość emitowania światła o barwie niebieskiej i barwie białej. Po włączeniu uprzywilejowania pojazdu moduły świetlne LED muszą automatycznie załączać się i emitować światło o barwie niebieskiej. Po włączeniu na manipulatorze funkcji oświetlenia pomocniczego wybrane lampy muszą emitować ciągły strumień światła o barwie białej </w:t>
      </w:r>
      <w:r w:rsidRPr="00EC7D1D">
        <w:rPr>
          <w:rFonts w:ascii="Arial" w:hAnsi="Arial" w:cs="Arial"/>
          <w:sz w:val="22"/>
          <w:szCs w:val="22"/>
        </w:rPr>
        <w:br/>
        <w:t>i oświetlać obszar z boku pojazdu podczas wykonywania czynności służbowych. Zamawiający wymaga możliwości niezależnego załączania pomocniczych lamp z każdej strony pojazdu.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eastAsia="Calibri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 xml:space="preserve">W </w:t>
      </w:r>
      <w:r w:rsidRPr="00EC7D1D">
        <w:rPr>
          <w:rFonts w:ascii="Arial" w:eastAsia="Calibri" w:hAnsi="Arial" w:cs="Arial"/>
          <w:sz w:val="22"/>
          <w:szCs w:val="22"/>
        </w:rPr>
        <w:t>górnej środkowej części przedniej szyby wewnątrz pojazdu musi być zamontowana dodatkowa lampa LED o kloszu bezbarwnym o barwie światła niebieskiej wyposażona w osłonę antyrefleksyjną. Lampa musi posiadać łącznie, co najmniej cztery diody LED o wysokiej światłości.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W </w:t>
      </w:r>
      <w:r w:rsidRPr="00EC7D1D">
        <w:rPr>
          <w:rFonts w:ascii="Arial" w:hAnsi="Arial" w:cs="Arial"/>
          <w:sz w:val="22"/>
          <w:szCs w:val="22"/>
          <w:lang w:eastAsia="pl-PL"/>
        </w:rPr>
        <w:t>przedniej części pojazdu muszą być zamontowane cztery lampy LED o kloszach bezbarwnych o barwie światła niebieskiej:</w:t>
      </w:r>
      <w:bookmarkStart w:id="0" w:name="_GoBack"/>
      <w:bookmarkEnd w:id="0"/>
    </w:p>
    <w:p w:rsidR="00AB331B" w:rsidRPr="00EC7D1D" w:rsidRDefault="00AB331B" w:rsidP="00AB331B">
      <w:pPr>
        <w:widowControl/>
        <w:suppressAutoHyphens w:val="0"/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a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)</w:t>
      </w:r>
      <w:r w:rsidRPr="00EC7D1D">
        <w:rPr>
          <w:rFonts w:ascii="Arial" w:hAnsi="Arial" w:cs="Arial"/>
          <w:sz w:val="22"/>
          <w:szCs w:val="22"/>
          <w:lang w:eastAsia="pl-PL"/>
        </w:rPr>
        <w:tab/>
        <w:t>z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przodu pojazdu w atrapie chłodnicy lub w zderzaku przednim – 2 szt.</w:t>
      </w:r>
    </w:p>
    <w:p w:rsidR="00AB331B" w:rsidRPr="00EC7D1D" w:rsidRDefault="00AB331B" w:rsidP="00AB331B">
      <w:pPr>
        <w:widowControl/>
        <w:suppressAutoHyphens w:val="0"/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b)</w:t>
      </w:r>
      <w:r w:rsidRPr="00EC7D1D">
        <w:rPr>
          <w:rFonts w:ascii="Arial" w:hAnsi="Arial" w:cs="Arial"/>
          <w:sz w:val="22"/>
          <w:szCs w:val="22"/>
          <w:lang w:eastAsia="pl-PL"/>
        </w:rPr>
        <w:tab/>
        <w:t xml:space="preserve">po prawej i lewej stronie pojazdu w błotnikach przednich lub w 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zderzaku     przednim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– 2 szt.</w:t>
      </w:r>
    </w:p>
    <w:p w:rsidR="00AB331B" w:rsidRPr="00EC7D1D" w:rsidRDefault="00AB331B" w:rsidP="00AB331B">
      <w:pPr>
        <w:spacing w:line="100" w:lineRule="atLeast"/>
        <w:ind w:left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Każda z lamp </w:t>
      </w:r>
      <w:r w:rsidRPr="00EC7D1D">
        <w:rPr>
          <w:rFonts w:ascii="Arial" w:hAnsi="Arial" w:cs="Arial"/>
          <w:sz w:val="22"/>
          <w:szCs w:val="22"/>
        </w:rPr>
        <w:t xml:space="preserve">musi </w:t>
      </w:r>
      <w:proofErr w:type="gramStart"/>
      <w:r w:rsidRPr="00EC7D1D">
        <w:rPr>
          <w:rFonts w:ascii="Arial" w:hAnsi="Arial" w:cs="Arial"/>
          <w:sz w:val="22"/>
          <w:szCs w:val="22"/>
        </w:rPr>
        <w:t>posiadać co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najmniej cztery diody LED o wysokiej światłości</w:t>
      </w:r>
      <w:r w:rsidRPr="00EC7D1D">
        <w:rPr>
          <w:rFonts w:ascii="Arial" w:hAnsi="Arial" w:cs="Arial"/>
          <w:sz w:val="22"/>
          <w:szCs w:val="22"/>
          <w:lang w:eastAsia="pl-PL"/>
        </w:rPr>
        <w:t>.</w:t>
      </w:r>
      <w:r w:rsidRPr="00EC7D1D">
        <w:rPr>
          <w:rFonts w:ascii="Arial" w:hAnsi="Arial" w:cs="Arial"/>
          <w:sz w:val="22"/>
          <w:szCs w:val="22"/>
        </w:rPr>
        <w:t xml:space="preserve"> Lampy muszą świecić naprzemiennie.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 xml:space="preserve">Pojazd </w:t>
      </w:r>
      <w:r w:rsidRPr="00EC7D1D">
        <w:rPr>
          <w:rFonts w:ascii="Arial" w:eastAsia="Calibri" w:hAnsi="Arial" w:cs="Arial"/>
          <w:sz w:val="22"/>
          <w:szCs w:val="22"/>
          <w:lang w:eastAsia="pl-PL"/>
        </w:rPr>
        <w:t xml:space="preserve">musi posiadać po wewnętrznej stronie dolnej, lewej i prawej, skrajnej części drzwi/klapy tyłu nadwozia zamontowane dwie lampy LED o barwie światła niebieskiej. Każda z lamp musi posiadać łącznie, co najmniej cztery diody LED </w:t>
      </w:r>
      <w:r w:rsidRPr="00EC7D1D">
        <w:rPr>
          <w:rFonts w:ascii="Arial" w:eastAsia="Calibri" w:hAnsi="Arial" w:cs="Arial"/>
          <w:sz w:val="22"/>
          <w:szCs w:val="22"/>
          <w:lang w:eastAsia="pl-PL"/>
        </w:rPr>
        <w:br/>
        <w:t xml:space="preserve">o wysokiej światłości. Lampy muszą świecić naprzemiennie. Lampy te muszą załączać się automatycznie po otwarciu drzwi/klapy tyłu nadwozia w przypadku działania głównych świateł uprzywilejowania i być widoczne z tyłu pojazdu. Wymiary lamp muszą umożliwiać ich zamontowanie do wewnętrznej powierzchni drzwi/klapy, która po ich otwarciu będzie znajdowała się w najwyższym punkcie mierzonym od podłoża. Sposób i miejsce montażu lamp musi ograniczać możliwość ich przesłonięcia przez funkcjonariuszy korzystających z przestrzeni bagażowej oraz </w:t>
      </w:r>
      <w:r w:rsidRPr="00EC7D1D">
        <w:rPr>
          <w:rFonts w:ascii="Arial" w:eastAsia="Calibri" w:hAnsi="Arial" w:cs="Arial"/>
          <w:sz w:val="22"/>
          <w:szCs w:val="22"/>
          <w:lang w:eastAsia="pl-PL"/>
        </w:rPr>
        <w:lastRenderedPageBreak/>
        <w:t>musi zabezpieczać lampy przed uszkodzeniem przez wyposażenie przewożone w przestrzeni bagażowej.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>Wszystkie zastosowane w pojeździe lampy uprzywilejowania w ruchu drogowym muszą:</w:t>
      </w:r>
    </w:p>
    <w:p w:rsidR="00AB331B" w:rsidRPr="00EC7D1D" w:rsidRDefault="00AB331B" w:rsidP="00AB331B">
      <w:pPr>
        <w:widowControl/>
        <w:numPr>
          <w:ilvl w:val="1"/>
          <w:numId w:val="2"/>
        </w:numPr>
        <w:tabs>
          <w:tab w:val="left" w:pos="1276"/>
        </w:tabs>
        <w:spacing w:line="100" w:lineRule="atLeast"/>
        <w:ind w:left="1276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posiadać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homologację,</w:t>
      </w:r>
    </w:p>
    <w:p w:rsidR="00AB331B" w:rsidRPr="00EC7D1D" w:rsidRDefault="00AB331B" w:rsidP="00AB331B">
      <w:pPr>
        <w:widowControl/>
        <w:numPr>
          <w:ilvl w:val="1"/>
          <w:numId w:val="2"/>
        </w:numPr>
        <w:tabs>
          <w:tab w:val="left" w:pos="1276"/>
        </w:tabs>
        <w:spacing w:line="100" w:lineRule="atLeast"/>
        <w:ind w:left="1276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być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zamontowane w taki sposób, aby źródło światła było umieszczone prostopadle do osi poziomej pojazdu,</w:t>
      </w:r>
    </w:p>
    <w:p w:rsidR="00AB331B" w:rsidRPr="00EC7D1D" w:rsidRDefault="00AB331B" w:rsidP="00AB331B">
      <w:pPr>
        <w:widowControl/>
        <w:numPr>
          <w:ilvl w:val="1"/>
          <w:numId w:val="2"/>
        </w:numPr>
        <w:tabs>
          <w:tab w:val="left" w:pos="1276"/>
        </w:tabs>
        <w:spacing w:line="100" w:lineRule="atLeast"/>
        <w:ind w:left="1276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posiadać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klosze wykonane z poliwęglanu,</w:t>
      </w:r>
    </w:p>
    <w:p w:rsidR="00AB331B" w:rsidRPr="00EC7D1D" w:rsidRDefault="00AB331B" w:rsidP="00AB331B">
      <w:pPr>
        <w:widowControl/>
        <w:numPr>
          <w:ilvl w:val="1"/>
          <w:numId w:val="2"/>
        </w:numPr>
        <w:tabs>
          <w:tab w:val="left" w:pos="1276"/>
        </w:tabs>
        <w:spacing w:line="100" w:lineRule="atLeast"/>
        <w:ind w:left="1276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być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zamontowane w sposób umożliwiający mycie pojazdu w myjni automatycznej szczotkowej bez konieczności ich demontażu.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>Po zamontowaniu w pojeździe urządzenie emitujące ostrzegawcze sygnały uprzywilejowania pojazdu w ruchu drogowym i rozgłaszające komunikaty musi:</w:t>
      </w:r>
    </w:p>
    <w:p w:rsidR="00AB331B" w:rsidRPr="00EC7D1D" w:rsidRDefault="00AB331B" w:rsidP="00AB331B">
      <w:pPr>
        <w:widowControl/>
        <w:numPr>
          <w:ilvl w:val="4"/>
          <w:numId w:val="6"/>
        </w:numPr>
        <w:suppressAutoHyphens w:val="0"/>
        <w:spacing w:line="100" w:lineRule="atLeast"/>
        <w:ind w:left="1276" w:hanging="283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wytwarzać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dźwięki, których ekwiwalentny poziom ciśnienia akustycznego wg krzywej korekcyjnej A mierzony całkującym miernikiem poziomu dźwięku umieszczonym w odległości 7 m od przedniego zderzaka pojazdu musi zawierać się w granicach 112 </w:t>
      </w:r>
      <w:proofErr w:type="spellStart"/>
      <w:r w:rsidRPr="00EC7D1D">
        <w:rPr>
          <w:rFonts w:ascii="Arial" w:hAnsi="Arial" w:cs="Arial"/>
          <w:sz w:val="22"/>
          <w:szCs w:val="22"/>
        </w:rPr>
        <w:t>dB</w:t>
      </w:r>
      <w:proofErr w:type="spellEnd"/>
      <w:r w:rsidRPr="00EC7D1D">
        <w:rPr>
          <w:rFonts w:ascii="Arial" w:hAnsi="Arial" w:cs="Arial"/>
          <w:sz w:val="22"/>
          <w:szCs w:val="22"/>
        </w:rPr>
        <w:t xml:space="preserve">(A) ÷ 118 </w:t>
      </w:r>
      <w:proofErr w:type="spellStart"/>
      <w:r w:rsidRPr="00EC7D1D">
        <w:rPr>
          <w:rFonts w:ascii="Arial" w:hAnsi="Arial" w:cs="Arial"/>
          <w:sz w:val="22"/>
          <w:szCs w:val="22"/>
        </w:rPr>
        <w:t>dB</w:t>
      </w:r>
      <w:proofErr w:type="spellEnd"/>
      <w:r w:rsidRPr="00EC7D1D">
        <w:rPr>
          <w:rFonts w:ascii="Arial" w:hAnsi="Arial" w:cs="Arial"/>
          <w:sz w:val="22"/>
          <w:szCs w:val="22"/>
        </w:rPr>
        <w:t xml:space="preserve">(A), dla każdego rodzaju dźwięku. Warunki badań wg PN-92/S-76004 lub regulaminu 28 EKG ONZ. </w:t>
      </w:r>
    </w:p>
    <w:p w:rsidR="00AB331B" w:rsidRPr="00EC7D1D" w:rsidRDefault="00AB331B" w:rsidP="00AB331B">
      <w:pPr>
        <w:widowControl/>
        <w:suppressAutoHyphens w:val="0"/>
        <w:spacing w:line="100" w:lineRule="atLeast"/>
        <w:ind w:left="127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</w:rPr>
        <w:t xml:space="preserve">Spełnienie wymogu musi być potwierdzone oświadczeniem Wykonawcy wystawionym na podstawie opinii lub sprawozdania z badań wydanego dla pojazdu reprezentatywnego przez akredytowaną jednostkę badawczą. 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Dokumenty potwierdzające spełnienie wymogu muszą być przekazane Zamawiającemu przez Wykonawcę w fazie oceny projektu modyfikacji pojazdu.</w:t>
      </w:r>
    </w:p>
    <w:p w:rsidR="00AB331B" w:rsidRPr="00EC7D1D" w:rsidRDefault="00AB331B" w:rsidP="00AB331B">
      <w:pPr>
        <w:widowControl/>
        <w:numPr>
          <w:ilvl w:val="4"/>
          <w:numId w:val="6"/>
        </w:numPr>
        <w:suppressAutoHyphens w:val="0"/>
        <w:spacing w:line="100" w:lineRule="atLeast"/>
        <w:ind w:left="1418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wytwarzać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dźwięki, których ekwiwalentny poziom ciśnienia akustycznego wg krzywej korekcyjnej A mierzony całkującym miernikiem poziomu dźwięku </w:t>
      </w:r>
      <w:r w:rsidRPr="00EC7D1D">
        <w:rPr>
          <w:rFonts w:ascii="Arial" w:hAnsi="Arial" w:cs="Arial"/>
          <w:sz w:val="22"/>
          <w:szCs w:val="22"/>
        </w:rPr>
        <w:br/>
        <w:t xml:space="preserve">w kabinie, na postoju nie może przekraczać 80 </w:t>
      </w:r>
      <w:proofErr w:type="spellStart"/>
      <w:r w:rsidRPr="00EC7D1D">
        <w:rPr>
          <w:rFonts w:ascii="Arial" w:hAnsi="Arial" w:cs="Arial"/>
          <w:sz w:val="22"/>
          <w:szCs w:val="22"/>
        </w:rPr>
        <w:t>dB</w:t>
      </w:r>
      <w:proofErr w:type="spellEnd"/>
      <w:r w:rsidRPr="00EC7D1D">
        <w:rPr>
          <w:rFonts w:ascii="Arial" w:hAnsi="Arial" w:cs="Arial"/>
          <w:sz w:val="22"/>
          <w:szCs w:val="22"/>
        </w:rPr>
        <w:t xml:space="preserve">(A), dla każdego rodzaju dźwięku. Warunki badań wg PN-90/S-04052 ISO 5128. </w:t>
      </w:r>
    </w:p>
    <w:p w:rsidR="00AB331B" w:rsidRPr="00EC7D1D" w:rsidRDefault="00AB331B" w:rsidP="00AB331B">
      <w:pPr>
        <w:widowControl/>
        <w:suppressAutoHyphens w:val="0"/>
        <w:spacing w:line="100" w:lineRule="atLeast"/>
        <w:ind w:left="1418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</w:rPr>
        <w:t xml:space="preserve">Spełnienie wymogu musi być potwierdzone oświadczeniem Wykonawcy wystawionym na podstawie opinii lub sprawozdania z badań wydanego dla pojazdu reprezentatywnego przez akredytowaną jednostkę badawczą. 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Dokumenty potwierdzające spełnienie wymogu muszą być przekazane Zamawiającemu przez Wykonawcę w fazie oceny projektu modyfikacji pojazdu.</w:t>
      </w:r>
    </w:p>
    <w:p w:rsidR="00AB331B" w:rsidRPr="00EC7D1D" w:rsidRDefault="00AB331B" w:rsidP="00AB331B">
      <w:pPr>
        <w:widowControl/>
        <w:numPr>
          <w:ilvl w:val="4"/>
          <w:numId w:val="6"/>
        </w:numPr>
        <w:suppressAutoHyphens w:val="0"/>
        <w:spacing w:line="100" w:lineRule="atLeast"/>
        <w:ind w:left="1418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spełniać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wymagania dla obudów ochronnych w klasie min. IP 56 według normy PN-EN 60529:2003. </w:t>
      </w:r>
    </w:p>
    <w:p w:rsidR="00AB331B" w:rsidRPr="00EC7D1D" w:rsidRDefault="00AB331B" w:rsidP="00AB331B">
      <w:pPr>
        <w:widowControl/>
        <w:suppressAutoHyphens w:val="0"/>
        <w:spacing w:line="100" w:lineRule="atLeast"/>
        <w:ind w:left="1418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</w:rPr>
        <w:t xml:space="preserve">Spełnienie wymogu musi być potwierdzone oświadczeniem Wykonawcy wystawionym na podstawie opinii lub sprawozdania z badań wydanego przez akredytowaną jednostkę badawczą. 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Dokumenty potwierdzające spełnienie wymogu muszą być przekazane Zamawiającemu przez Wykonawcę w fazie oceny projektu modyfikacji pojazdu.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>Urządzenie, o którym mowa w pkt 1.5.6.11 musi ponadto posiadać funkcje:</w:t>
      </w:r>
    </w:p>
    <w:p w:rsidR="00AB331B" w:rsidRPr="00EC7D1D" w:rsidRDefault="00AB331B" w:rsidP="00AB331B">
      <w:pPr>
        <w:widowControl/>
        <w:numPr>
          <w:ilvl w:val="1"/>
          <w:numId w:val="4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wytwarzania</w:t>
      </w:r>
      <w:proofErr w:type="gramEnd"/>
      <w:r w:rsidRPr="00EC7D1D">
        <w:rPr>
          <w:rFonts w:ascii="Arial" w:hAnsi="Arial" w:cs="Arial"/>
          <w:sz w:val="22"/>
          <w:szCs w:val="22"/>
        </w:rPr>
        <w:t>, co najmniej 3 rodzajów dźwięków,</w:t>
      </w:r>
    </w:p>
    <w:p w:rsidR="00AB331B" w:rsidRPr="00EC7D1D" w:rsidRDefault="00AB331B" w:rsidP="00AB331B">
      <w:pPr>
        <w:widowControl/>
        <w:numPr>
          <w:ilvl w:val="1"/>
          <w:numId w:val="4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przełączania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tonu sygnału uprzywilejowania: „Le-on”, „Wilk”, „Pies” (Hi-</w:t>
      </w:r>
      <w:proofErr w:type="spellStart"/>
      <w:r w:rsidRPr="00EC7D1D">
        <w:rPr>
          <w:rFonts w:ascii="Arial" w:hAnsi="Arial" w:cs="Arial"/>
          <w:sz w:val="22"/>
          <w:szCs w:val="22"/>
        </w:rPr>
        <w:t>lo</w:t>
      </w:r>
      <w:proofErr w:type="spellEnd"/>
      <w:r w:rsidRPr="00EC7D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C7D1D">
        <w:rPr>
          <w:rFonts w:ascii="Arial" w:hAnsi="Arial" w:cs="Arial"/>
          <w:sz w:val="22"/>
          <w:szCs w:val="22"/>
        </w:rPr>
        <w:t>Yelp</w:t>
      </w:r>
      <w:proofErr w:type="spellEnd"/>
      <w:r w:rsidRPr="00EC7D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C7D1D">
        <w:rPr>
          <w:rFonts w:ascii="Arial" w:hAnsi="Arial" w:cs="Arial"/>
          <w:sz w:val="22"/>
          <w:szCs w:val="22"/>
        </w:rPr>
        <w:t>Wail</w:t>
      </w:r>
      <w:proofErr w:type="spellEnd"/>
      <w:r w:rsidRPr="00EC7D1D">
        <w:rPr>
          <w:rFonts w:ascii="Arial" w:hAnsi="Arial" w:cs="Arial"/>
          <w:sz w:val="22"/>
          <w:szCs w:val="22"/>
        </w:rPr>
        <w:t>), co najmniej z wykorzystaniem manipulatora oraz dodatkowo za pomocą klaksonu pojazdu,</w:t>
      </w:r>
    </w:p>
    <w:p w:rsidR="00AB331B" w:rsidRPr="00EC7D1D" w:rsidRDefault="00AB331B" w:rsidP="00AB331B">
      <w:pPr>
        <w:widowControl/>
        <w:numPr>
          <w:ilvl w:val="1"/>
          <w:numId w:val="4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sterowania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wszystkimi lampami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świetlnej sygnalizacji uprzywilejowania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br/>
        <w:t>o barwie światła niebieskiej i czerwonej</w:t>
      </w:r>
      <w:r w:rsidRPr="00EC7D1D">
        <w:rPr>
          <w:rFonts w:ascii="Arial" w:hAnsi="Arial" w:cs="Arial"/>
          <w:sz w:val="22"/>
          <w:szCs w:val="22"/>
        </w:rPr>
        <w:t>,</w:t>
      </w:r>
    </w:p>
    <w:p w:rsidR="00AB331B" w:rsidRPr="00EC7D1D" w:rsidRDefault="00AB331B" w:rsidP="00AB331B">
      <w:pPr>
        <w:widowControl/>
        <w:numPr>
          <w:ilvl w:val="1"/>
          <w:numId w:val="4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rozgłaszania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komunikatów i sterowania urządzeniem rozgłoszeniowym,</w:t>
      </w:r>
    </w:p>
    <w:p w:rsidR="00AB331B" w:rsidRPr="00EC7D1D" w:rsidRDefault="00AB331B" w:rsidP="00AB331B">
      <w:pPr>
        <w:widowControl/>
        <w:numPr>
          <w:ilvl w:val="1"/>
          <w:numId w:val="4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sterowania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oświetleniem pomocniczym.</w:t>
      </w:r>
    </w:p>
    <w:p w:rsidR="00AB331B" w:rsidRPr="00EC7D1D" w:rsidRDefault="00AB331B" w:rsidP="00AB331B">
      <w:pPr>
        <w:widowControl/>
        <w:numPr>
          <w:ilvl w:val="3"/>
          <w:numId w:val="7"/>
        </w:numPr>
        <w:tabs>
          <w:tab w:val="left" w:pos="993"/>
        </w:tabs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 xml:space="preserve">Urządzenie, o którym mowa w pkt. 1.5.6.11 musi posiadać dodatkową funkcję szybkiego włączania sygnalizacji uprzywilejowania. Funkcja musi być realizowana za pomocą przełącznika (o min. wymiarach przycisku 30x30 mm lub Ø 30 mm) </w:t>
      </w:r>
      <w:r w:rsidRPr="00EC7D1D">
        <w:rPr>
          <w:rFonts w:ascii="Arial" w:hAnsi="Arial" w:cs="Arial"/>
          <w:sz w:val="22"/>
          <w:szCs w:val="22"/>
        </w:rPr>
        <w:lastRenderedPageBreak/>
        <w:t xml:space="preserve">zamontowanego w miejscu łatwo dostępnym dla kierowcy i być uruchamiana </w:t>
      </w:r>
      <w:r w:rsidRPr="00EC7D1D">
        <w:rPr>
          <w:rFonts w:ascii="Arial" w:hAnsi="Arial" w:cs="Arial"/>
          <w:sz w:val="22"/>
          <w:szCs w:val="22"/>
        </w:rPr>
        <w:br/>
        <w:t>w następujący sposób:</w:t>
      </w:r>
    </w:p>
    <w:p w:rsidR="00AB331B" w:rsidRPr="00EC7D1D" w:rsidRDefault="00AB331B" w:rsidP="00AB331B">
      <w:pPr>
        <w:widowControl/>
        <w:numPr>
          <w:ilvl w:val="1"/>
          <w:numId w:val="3"/>
        </w:numPr>
        <w:spacing w:line="100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pierwsze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wciśnięcie przełącznika musi włączać sygnalizację uprzywilejowania dźwiękową i świetlną o barwie światła niebieskiej,</w:t>
      </w:r>
    </w:p>
    <w:p w:rsidR="00AB331B" w:rsidRPr="00EC7D1D" w:rsidRDefault="00AB331B" w:rsidP="00AB331B">
      <w:pPr>
        <w:widowControl/>
        <w:numPr>
          <w:ilvl w:val="1"/>
          <w:numId w:val="3"/>
        </w:numPr>
        <w:spacing w:line="100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drugie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wciśnięcie przełącznika musi włączać jedynie sygnalizację uprzywilejowania świetlną o barwie światła niebieskiej,</w:t>
      </w:r>
    </w:p>
    <w:p w:rsidR="00AB331B" w:rsidRPr="00EC7D1D" w:rsidRDefault="00AB331B" w:rsidP="00AB331B">
      <w:pPr>
        <w:widowControl/>
        <w:numPr>
          <w:ilvl w:val="1"/>
          <w:numId w:val="3"/>
        </w:numPr>
        <w:spacing w:line="100" w:lineRule="atLeast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trzecie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wciśnięcie przełącznika musi całkowicie wyłączać sygnalizację uprzywilejowania.</w:t>
      </w:r>
    </w:p>
    <w:p w:rsidR="00AB331B" w:rsidRPr="00EC7D1D" w:rsidRDefault="00AB331B" w:rsidP="00AB331B">
      <w:pPr>
        <w:spacing w:line="100" w:lineRule="atLeast"/>
        <w:ind w:left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>Każda pozycja przełącznika musi być sygnalizowana innym kolorem lub sposobem świecenia (migania) lampki kontrolnej umieszczonej w przełączniku.</w:t>
      </w:r>
    </w:p>
    <w:p w:rsidR="00AB331B" w:rsidRPr="00EC7D1D" w:rsidRDefault="00AB331B" w:rsidP="00AB331B">
      <w:pPr>
        <w:widowControl/>
        <w:numPr>
          <w:ilvl w:val="3"/>
          <w:numId w:val="7"/>
        </w:numPr>
        <w:tabs>
          <w:tab w:val="left" w:pos="993"/>
        </w:tabs>
        <w:suppressAutoHyphens w:val="0"/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 xml:space="preserve">Głośnik urządzenia, o którym mowa w pkt. 1.5.6.11 musi być zamontowany </w:t>
      </w:r>
      <w:r w:rsidRPr="00EC7D1D">
        <w:rPr>
          <w:rFonts w:ascii="Arial" w:hAnsi="Arial" w:cs="Arial"/>
          <w:sz w:val="22"/>
          <w:szCs w:val="22"/>
        </w:rPr>
        <w:br/>
        <w:t xml:space="preserve">w przedniej części pojazdu, w atrapie chłodnicy lub w przednim zderzaku. Sposób i miejsce montażu głośnika nie może ograniczać poziomu emitowanego dźwięku. Miejsce ingerencji w nadwozie pojazdu bazowego związane z montażem głośnika musi być od zewnętrznej strony osłonięte elementem maskującym (obudową) wykonanym z tworzywa sztucznego. </w:t>
      </w:r>
      <w:proofErr w:type="gramStart"/>
      <w:r w:rsidRPr="00EC7D1D">
        <w:rPr>
          <w:rFonts w:ascii="Arial" w:hAnsi="Arial" w:cs="Arial"/>
          <w:sz w:val="22"/>
          <w:szCs w:val="22"/>
        </w:rPr>
        <w:t>np</w:t>
      </w:r>
      <w:proofErr w:type="gramEnd"/>
      <w:r w:rsidRPr="00EC7D1D">
        <w:rPr>
          <w:rFonts w:ascii="Arial" w:hAnsi="Arial" w:cs="Arial"/>
          <w:sz w:val="22"/>
          <w:szCs w:val="22"/>
        </w:rPr>
        <w:t>. z wykorzystaniem technologii druku 3D. Kształt oraz sposób wykonania i montażu osłony musi zapobiegać występowaniu ostrych krawędzi, które mogłyby powodować zranienia i kontuzje osób podczas użytkowania pojazdu.</w:t>
      </w:r>
      <w:r>
        <w:rPr>
          <w:rFonts w:ascii="Arial" w:hAnsi="Arial" w:cs="Arial"/>
          <w:sz w:val="22"/>
          <w:szCs w:val="22"/>
        </w:rPr>
        <w:t xml:space="preserve"> Do każdego dostarczonego pojazdu Zamawiający wymaga dostarczenia 2 szt. zapasowych obudów maskujących urządzenie emitujące dźwięk.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 xml:space="preserve">We wnętrzu pojazdu w miejscu gwarantującym łatwą obsługę przez dysponenta </w:t>
      </w:r>
      <w:r w:rsidRPr="00EC7D1D">
        <w:rPr>
          <w:rFonts w:ascii="Arial" w:hAnsi="Arial" w:cs="Arial"/>
          <w:sz w:val="22"/>
          <w:szCs w:val="22"/>
        </w:rPr>
        <w:br/>
        <w:t>i kierowcę musi być zamontowany manipulator (z wbudowanym mikrofonem) umożliwiający sterowanie urządzeniem, o którym mowa w pkt. 1.5.6.11.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 xml:space="preserve">W celu zagwarantowania niezawodnej i długotrwałej pracy urządzeń sygnalizacji uprzywilejowania w ruchu drogowym, o których mowa w pkt. 1.5.6.3, 1.5.6.7, 1.5.6.8, 1.5.6.9, 1.5.6.11, 1.5.6.12, 1.5.6.14 </w:t>
      </w:r>
      <w:proofErr w:type="gramStart"/>
      <w:r w:rsidRPr="00EC7D1D">
        <w:rPr>
          <w:rFonts w:ascii="Arial" w:hAnsi="Arial" w:cs="Arial"/>
          <w:sz w:val="22"/>
          <w:szCs w:val="22"/>
        </w:rPr>
        <w:t>i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1.5.6.15, Zamawiający wymaga, aby Wykonawca montował w pojeździe urządzenia tego samego producenta (takiej samej marki) posiadającego autoryzowane punkty serwisowe i/lub autoryzowanych dystrybutorów na terenie Polski. </w:t>
      </w:r>
    </w:p>
    <w:p w:rsidR="00AB331B" w:rsidRPr="00EC7D1D" w:rsidRDefault="00AB331B" w:rsidP="00AB331B">
      <w:pPr>
        <w:widowControl/>
        <w:numPr>
          <w:ilvl w:val="3"/>
          <w:numId w:val="7"/>
        </w:numPr>
        <w:spacing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>Działanie urządzeń sygnalizacji uprzywilejowania pojazdu w ruchu drogowym musi spełniać następujące warunki:</w:t>
      </w:r>
    </w:p>
    <w:p w:rsidR="00AB331B" w:rsidRPr="00EC7D1D" w:rsidRDefault="00AB331B" w:rsidP="00AB331B">
      <w:pPr>
        <w:widowControl/>
        <w:numPr>
          <w:ilvl w:val="0"/>
          <w:numId w:val="5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włączenie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sygnalizacji dźwiękowej musi pociągać za sobą jednocześnie włączenie sygnalizacji świetlnej o barwie światła niebieskiej (nie może być możliwości włączenia samej sygnalizacji dźwiękowej, tj. bez równoczesnej sygnalizacji świetlnej),</w:t>
      </w:r>
    </w:p>
    <w:p w:rsidR="00AB331B" w:rsidRPr="00EC7D1D" w:rsidRDefault="00AB331B" w:rsidP="00AB331B">
      <w:pPr>
        <w:widowControl/>
        <w:numPr>
          <w:ilvl w:val="0"/>
          <w:numId w:val="5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musi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istnieć możliwość włączenia samej sygnalizacji świetlnej o barwie światła niebieskiej (bez sygnalizacji dźwiękowej),</w:t>
      </w:r>
    </w:p>
    <w:p w:rsidR="00AB331B" w:rsidRPr="00EC7D1D" w:rsidRDefault="00AB331B" w:rsidP="00AB331B">
      <w:pPr>
        <w:widowControl/>
        <w:numPr>
          <w:ilvl w:val="0"/>
          <w:numId w:val="5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włączenie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lamp uprzywilejowania pojazdu w ruchu drogowym musi być sygnalizowane lampką kontrolną,</w:t>
      </w:r>
    </w:p>
    <w:p w:rsidR="00AB331B" w:rsidRPr="00EC7D1D" w:rsidRDefault="00AB331B" w:rsidP="00AB331B">
      <w:pPr>
        <w:widowControl/>
        <w:numPr>
          <w:ilvl w:val="0"/>
          <w:numId w:val="5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włączenie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sygnalizacji świetlnej o barwie światła czerwonej musi pociągać za sobą włączenie sygnalizacji świetlnej o barwie światła niebieskiej,</w:t>
      </w:r>
    </w:p>
    <w:p w:rsidR="00AB331B" w:rsidRPr="00EC7D1D" w:rsidRDefault="00AB331B" w:rsidP="00AB331B">
      <w:pPr>
        <w:widowControl/>
        <w:numPr>
          <w:ilvl w:val="0"/>
          <w:numId w:val="5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włączenie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urządzenia rozgłoszeniowego musi przerywać emisję dźwiękowych sygnałów ostrzegawczych, zaś jego wyłączenie powodować dalszą pracę sygnalizacji dźwiękowej, o ile była ona wcześniej włączona,</w:t>
      </w:r>
    </w:p>
    <w:p w:rsidR="00AB331B" w:rsidRPr="00EC7D1D" w:rsidRDefault="00AB331B" w:rsidP="00AB331B">
      <w:pPr>
        <w:widowControl/>
        <w:numPr>
          <w:ilvl w:val="0"/>
          <w:numId w:val="5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działanie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sygnalizacji świetlnej musi być możliwe również przy wyjętym kluczyku ze stacyjki pojazdu,</w:t>
      </w:r>
    </w:p>
    <w:p w:rsidR="00AB331B" w:rsidRPr="00EC7D1D" w:rsidRDefault="00AB331B" w:rsidP="00AB331B">
      <w:pPr>
        <w:widowControl/>
        <w:numPr>
          <w:ilvl w:val="0"/>
          <w:numId w:val="5"/>
        </w:numPr>
        <w:spacing w:line="100" w:lineRule="atLeast"/>
        <w:ind w:left="1418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włączenie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świateł pozycyjnych lub mijania lub drogowych w pojeździe musi powodować włączenie świetlnego napisu „POLICJA” umieszczonego </w:t>
      </w:r>
      <w:r w:rsidRPr="00EC7D1D">
        <w:rPr>
          <w:rFonts w:ascii="Arial" w:hAnsi="Arial" w:cs="Arial"/>
          <w:sz w:val="22"/>
          <w:szCs w:val="22"/>
        </w:rPr>
        <w:br/>
        <w:t>w zespolonej lampie ostrzegawczej,</w:t>
      </w:r>
    </w:p>
    <w:p w:rsidR="00AB331B" w:rsidRPr="00EC7D1D" w:rsidRDefault="00AB331B" w:rsidP="00AB331B">
      <w:pPr>
        <w:widowControl/>
        <w:numPr>
          <w:ilvl w:val="0"/>
          <w:numId w:val="5"/>
        </w:numPr>
        <w:spacing w:line="100" w:lineRule="atLeast"/>
        <w:ind w:left="1417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lastRenderedPageBreak/>
        <w:t>przy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zapalonych światłach dziennych włączenie sygnalizacji dźwiękowej musi pociągać za sobą jednocześnie włączenie świateł mijania, a wyłączenie sygnalizacji dźwiękowej musi powodować powrót do funkcji świecenia świateł dziennych.</w:t>
      </w:r>
    </w:p>
    <w:p w:rsidR="00AB331B" w:rsidRPr="00EC7D1D" w:rsidRDefault="00AB331B" w:rsidP="00AB331B">
      <w:pPr>
        <w:spacing w:line="100" w:lineRule="atLeast"/>
        <w:ind w:left="992"/>
        <w:jc w:val="both"/>
        <w:rPr>
          <w:rFonts w:ascii="Arial" w:hAnsi="Arial" w:cs="Arial"/>
          <w:sz w:val="22"/>
          <w:szCs w:val="22"/>
        </w:rPr>
      </w:pPr>
    </w:p>
    <w:p w:rsidR="00AB331B" w:rsidRPr="00EC7D1D" w:rsidRDefault="00AB331B" w:rsidP="00AB331B">
      <w:pPr>
        <w:ind w:right="70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b/>
          <w:sz w:val="22"/>
          <w:szCs w:val="22"/>
        </w:rPr>
        <w:t>Spełnienie wymagań określonych w pkt. 1.5.6, o ile nie zostały szczegółowo opisane w poszczególnych punktach, muszą być potwierdzone oświadczeniem Wykonawcy oraz pozytywnym wynikiem oględzin dokonanych przez przedstawicieli Zamawiającego w fazie oceny projektu modyfikacji pojazdu.</w:t>
      </w:r>
    </w:p>
    <w:p w:rsidR="00AB331B" w:rsidRPr="00EC7D1D" w:rsidRDefault="00AB331B" w:rsidP="00AB331B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Dokumenty potwierdzające spełnienie wymogu muszą być przekazane Zamawiającemu przez Wykonawcę w fazie oceny projektu modyfikacji pojazdu.</w:t>
      </w:r>
    </w:p>
    <w:p w:rsidR="00907CAE" w:rsidRDefault="00907CAE"/>
    <w:sectPr w:rsidR="00907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C5245"/>
    <w:multiLevelType w:val="multilevel"/>
    <w:tmpl w:val="50FA015E"/>
    <w:lvl w:ilvl="0">
      <w:start w:val="1"/>
      <w:numFmt w:val="decimal"/>
      <w:lvlText w:val="3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>
    <w:nsid w:val="142339D2"/>
    <w:multiLevelType w:val="multilevel"/>
    <w:tmpl w:val="E1EA8F1E"/>
    <w:lvl w:ilvl="0">
      <w:start w:val="1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5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06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2">
    <w:nsid w:val="28951E30"/>
    <w:multiLevelType w:val="hybridMultilevel"/>
    <w:tmpl w:val="4CDAD5F0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0563C"/>
    <w:multiLevelType w:val="hybridMultilevel"/>
    <w:tmpl w:val="44889C6C"/>
    <w:name w:val="WW8Num262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64F21EFA">
      <w:start w:val="1"/>
      <w:numFmt w:val="lowerLetter"/>
      <w:lvlText w:val="%2)"/>
      <w:lvlJc w:val="left"/>
      <w:pPr>
        <w:ind w:left="2373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93" w:hanging="180"/>
      </w:pPr>
    </w:lvl>
    <w:lvl w:ilvl="3" w:tplc="0415000F" w:tentative="1">
      <w:start w:val="1"/>
      <w:numFmt w:val="decimal"/>
      <w:lvlText w:val="%4."/>
      <w:lvlJc w:val="left"/>
      <w:pPr>
        <w:ind w:left="3813" w:hanging="360"/>
      </w:pPr>
    </w:lvl>
    <w:lvl w:ilvl="4" w:tplc="04150019" w:tentative="1">
      <w:start w:val="1"/>
      <w:numFmt w:val="lowerLetter"/>
      <w:lvlText w:val="%5."/>
      <w:lvlJc w:val="left"/>
      <w:pPr>
        <w:ind w:left="4533" w:hanging="360"/>
      </w:pPr>
    </w:lvl>
    <w:lvl w:ilvl="5" w:tplc="0415001B" w:tentative="1">
      <w:start w:val="1"/>
      <w:numFmt w:val="lowerRoman"/>
      <w:lvlText w:val="%6."/>
      <w:lvlJc w:val="right"/>
      <w:pPr>
        <w:ind w:left="5253" w:hanging="180"/>
      </w:pPr>
    </w:lvl>
    <w:lvl w:ilvl="6" w:tplc="0415000F" w:tentative="1">
      <w:start w:val="1"/>
      <w:numFmt w:val="decimal"/>
      <w:lvlText w:val="%7."/>
      <w:lvlJc w:val="left"/>
      <w:pPr>
        <w:ind w:left="5973" w:hanging="360"/>
      </w:pPr>
    </w:lvl>
    <w:lvl w:ilvl="7" w:tplc="04150019" w:tentative="1">
      <w:start w:val="1"/>
      <w:numFmt w:val="lowerLetter"/>
      <w:lvlText w:val="%8."/>
      <w:lvlJc w:val="left"/>
      <w:pPr>
        <w:ind w:left="6693" w:hanging="360"/>
      </w:pPr>
    </w:lvl>
    <w:lvl w:ilvl="8" w:tplc="0415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4">
    <w:nsid w:val="53E24F86"/>
    <w:multiLevelType w:val="hybridMultilevel"/>
    <w:tmpl w:val="4CDAD5F0"/>
    <w:name w:val="WW8Num26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1B"/>
    <w:rsid w:val="00907CAE"/>
    <w:rsid w:val="00AB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26F1C-4550-4A53-85BA-D9EB84DD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3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rio">
    <w:name w:val="Mario"/>
    <w:basedOn w:val="Normalny"/>
    <w:link w:val="MarioZnak"/>
    <w:rsid w:val="00AB331B"/>
    <w:pPr>
      <w:spacing w:line="360" w:lineRule="auto"/>
      <w:jc w:val="both"/>
    </w:pPr>
    <w:rPr>
      <w:rFonts w:ascii="Arial" w:hAnsi="Arial"/>
    </w:rPr>
  </w:style>
  <w:style w:type="character" w:customStyle="1" w:styleId="MarioZnak">
    <w:name w:val="Mario Znak"/>
    <w:link w:val="Mario"/>
    <w:rsid w:val="00AB331B"/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1936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Filipowicz</dc:creator>
  <cp:keywords/>
  <dc:description/>
  <cp:lastModifiedBy>Krzysztof Filipowicz</cp:lastModifiedBy>
  <cp:revision>1</cp:revision>
  <dcterms:created xsi:type="dcterms:W3CDTF">2026-01-22T12:49:00Z</dcterms:created>
  <dcterms:modified xsi:type="dcterms:W3CDTF">2026-01-22T12:56:00Z</dcterms:modified>
</cp:coreProperties>
</file>